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995A3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Oak Hills</w:t>
      </w:r>
    </w:p>
    <w:p w:rsidR="00995A31" w:rsidRDefault="00995A3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2017 3</w:t>
      </w:r>
      <w:r w:rsidRPr="00995A31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995A31" w:rsidRPr="00995A31" w:rsidRDefault="00995A31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681F96D" wp14:editId="4F73E6CD">
            <wp:extent cx="9172575" cy="62007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95A31" w:rsidRPr="00995A31" w:rsidSect="0099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31"/>
    <w:rsid w:val="00206930"/>
    <w:rsid w:val="005B03D0"/>
    <w:rsid w:val="0099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A02B5-8010-4B78-A2D0-8D89F06E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 baseline="0"/>
              <a:t>45 Homes Sold</a:t>
            </a:r>
            <a:endParaRPr lang="en-US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7</c:v>
                </c:pt>
                <c:pt idx="9">
                  <c:v>5</c:v>
                </c:pt>
                <c:pt idx="10">
                  <c:v>5</c:v>
                </c:pt>
                <c:pt idx="11">
                  <c:v>11</c:v>
                </c:pt>
                <c:pt idx="12">
                  <c:v>3</c:v>
                </c:pt>
                <c:pt idx="13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8608480"/>
        <c:axId val="418610440"/>
        <c:axId val="0"/>
      </c:bar3DChart>
      <c:catAx>
        <c:axId val="418608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8610440"/>
        <c:crosses val="autoZero"/>
        <c:auto val="1"/>
        <c:lblAlgn val="ctr"/>
        <c:lblOffset val="100"/>
        <c:noMultiLvlLbl val="0"/>
      </c:catAx>
      <c:valAx>
        <c:axId val="418610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860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0.16303</cdr:x>
      <cdr:y>0.12903</cdr:y>
    </cdr:from>
    <cdr:to>
      <cdr:x>0.52752</cdr:x>
      <cdr:y>0.17204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95425" y="800100"/>
          <a:ext cx="3343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3,935</a:t>
          </a:r>
          <a:r>
            <a:rPr lang="en-US" sz="1100"/>
            <a:t> - Average Year Built </a:t>
          </a:r>
          <a:r>
            <a:rPr lang="en-US" sz="1100" b="1"/>
            <a:t>2005</a:t>
          </a:r>
        </a:p>
      </cdr:txBody>
    </cdr:sp>
  </cdr:relSizeAnchor>
  <cdr:relSizeAnchor xmlns:cdr="http://schemas.openxmlformats.org/drawingml/2006/chartDrawing">
    <cdr:from>
      <cdr:x>0.16199</cdr:x>
      <cdr:y>0.19355</cdr:y>
    </cdr:from>
    <cdr:to>
      <cdr:x>0.5296</cdr:x>
      <cdr:y>0.23502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200150"/>
          <a:ext cx="3371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2,775</a:t>
          </a:r>
          <a:r>
            <a:rPr lang="en-US" sz="1100" baseline="0"/>
            <a:t> - Average Year Built </a:t>
          </a:r>
          <a:r>
            <a:rPr lang="en-US" sz="1100" b="1" baseline="0"/>
            <a:t>2005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0.16199</cdr:x>
      <cdr:y>0.25653</cdr:y>
    </cdr:from>
    <cdr:to>
      <cdr:x>0.52752</cdr:x>
      <cdr:y>0.29647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590675"/>
          <a:ext cx="33528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2,710</a:t>
          </a:r>
          <a:r>
            <a:rPr lang="en-US" sz="1100"/>
            <a:t> - Average Year Built </a:t>
          </a:r>
          <a:r>
            <a:rPr lang="en-US" sz="1100" b="1"/>
            <a:t>2000</a:t>
          </a:r>
        </a:p>
      </cdr:txBody>
    </cdr:sp>
  </cdr:relSizeAnchor>
  <cdr:relSizeAnchor xmlns:cdr="http://schemas.openxmlformats.org/drawingml/2006/chartDrawing">
    <cdr:from>
      <cdr:x>0.15992</cdr:x>
      <cdr:y>0.31797</cdr:y>
    </cdr:from>
    <cdr:to>
      <cdr:x>0.52856</cdr:x>
      <cdr:y>0.35945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1971675"/>
          <a:ext cx="33813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2,484 </a:t>
          </a:r>
          <a:r>
            <a:rPr lang="en-US" sz="1100"/>
            <a:t>- Average Year Built </a:t>
          </a:r>
          <a:r>
            <a:rPr lang="en-US" sz="1100" b="1"/>
            <a:t>1997</a:t>
          </a:r>
        </a:p>
      </cdr:txBody>
    </cdr:sp>
  </cdr:relSizeAnchor>
  <cdr:relSizeAnchor xmlns:cdr="http://schemas.openxmlformats.org/drawingml/2006/chartDrawing">
    <cdr:from>
      <cdr:x>0.16303</cdr:x>
      <cdr:y>0.38249</cdr:y>
    </cdr:from>
    <cdr:to>
      <cdr:x>0.51402</cdr:x>
      <cdr:y>0.42089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95425" y="2371725"/>
          <a:ext cx="32194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2,062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1996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0.16199</cdr:x>
      <cdr:y>0.4424</cdr:y>
    </cdr:from>
    <cdr:to>
      <cdr:x>0.49844</cdr:x>
      <cdr:y>0.48387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743200"/>
          <a:ext cx="3086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2,633 </a:t>
          </a:r>
          <a:r>
            <a:rPr lang="en-US" sz="1100"/>
            <a:t>- Average Year Built </a:t>
          </a:r>
          <a:r>
            <a:rPr lang="en-US" sz="1100" b="1"/>
            <a:t>2001</a:t>
          </a:r>
        </a:p>
      </cdr:txBody>
    </cdr:sp>
  </cdr:relSizeAnchor>
  <cdr:relSizeAnchor xmlns:cdr="http://schemas.openxmlformats.org/drawingml/2006/chartDrawing">
    <cdr:from>
      <cdr:x>0.16199</cdr:x>
      <cdr:y>0.50384</cdr:y>
    </cdr:from>
    <cdr:to>
      <cdr:x>0.52336</cdr:x>
      <cdr:y>0.54685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3124200"/>
          <a:ext cx="33147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1,941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1997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0.16199</cdr:x>
      <cdr:y>0.56682</cdr:y>
    </cdr:from>
    <cdr:to>
      <cdr:x>0.5296</cdr:x>
      <cdr:y>0.60983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514725"/>
          <a:ext cx="33718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1,816</a:t>
          </a:r>
          <a:r>
            <a:rPr lang="en-US" sz="1100" baseline="0"/>
            <a:t> - Average Year Built </a:t>
          </a:r>
          <a:r>
            <a:rPr lang="en-US" sz="1100" b="1" baseline="0"/>
            <a:t>2006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0.16096</cdr:x>
      <cdr:y>0.62826</cdr:y>
    </cdr:from>
    <cdr:to>
      <cdr:x>0.5296</cdr:x>
      <cdr:y>0.68664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895725"/>
          <a:ext cx="3381375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2,004 </a:t>
          </a:r>
          <a:r>
            <a:rPr lang="en-US" sz="1100"/>
            <a:t>- Average Year</a:t>
          </a:r>
          <a:r>
            <a:rPr lang="en-US" sz="1100" baseline="0"/>
            <a:t> Built </a:t>
          </a:r>
          <a:r>
            <a:rPr lang="en-US" sz="1100" b="1" baseline="0"/>
            <a:t>1998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2017-10-24T20:17:00Z</dcterms:created>
  <dcterms:modified xsi:type="dcterms:W3CDTF">2017-10-24T20:27:00Z</dcterms:modified>
</cp:coreProperties>
</file>